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DF" w:rsidRPr="00626EA5" w:rsidRDefault="00680044" w:rsidP="00626EA5">
      <w:pPr>
        <w:pStyle w:val="berschrift1"/>
      </w:pPr>
      <w:r w:rsidRPr="00626EA5">
        <w:t xml:space="preserve">Erklärung des </w:t>
      </w:r>
      <w:r w:rsidR="00CB2047" w:rsidRPr="00626EA5">
        <w:t>Zuwendungsempfängers</w:t>
      </w:r>
      <w:r w:rsidR="00E41F6F" w:rsidRPr="00626EA5">
        <w:t xml:space="preserve"> zum Besserstellungsverbot</w:t>
      </w:r>
    </w:p>
    <w:p w:rsidR="007F0EC5" w:rsidRDefault="007F0EC5" w:rsidP="00652A62"/>
    <w:p w:rsidR="00CC7DF0" w:rsidRDefault="00483A80" w:rsidP="00C9561D">
      <w:pPr>
        <w:jc w:val="both"/>
      </w:pPr>
      <w:r>
        <w:t xml:space="preserve">Bei der institutionellen Förderung gilt das Besserstellungsverbot uneingeschränkt, bei der Projektförderung nur dann, wenn die Gesamtausgaben des Zuwendungsempfängers überwiegend </w:t>
      </w:r>
      <w:r w:rsidR="009E3EB9">
        <w:t xml:space="preserve">(50% und mehr) </w:t>
      </w:r>
      <w:r>
        <w:t>aus öff</w:t>
      </w:r>
      <w:r w:rsidR="00CC7DF0">
        <w:t xml:space="preserve">entlichen </w:t>
      </w:r>
      <w:r w:rsidR="007A5E51">
        <w:t>Zuwendungen</w:t>
      </w:r>
      <w:r w:rsidR="00CC7DF0">
        <w:t xml:space="preserve"> finanziert wer</w:t>
      </w:r>
      <w:r>
        <w:t>d</w:t>
      </w:r>
      <w:r w:rsidR="00CC7DF0">
        <w:t>en</w:t>
      </w:r>
      <w:r>
        <w:t>. Mit dem Operationellen Programm für den ESF des Landes Bremen ist ausschließlich eine Projektförderung möglich.</w:t>
      </w:r>
    </w:p>
    <w:p w:rsidR="00483A80" w:rsidRDefault="00CC7DF0" w:rsidP="00C9561D">
      <w:pPr>
        <w:jc w:val="both"/>
      </w:pPr>
      <w:r>
        <w:t xml:space="preserve">Zuwendungen sind freiwillige Leistungen des </w:t>
      </w:r>
      <w:r w:rsidR="00EA7567">
        <w:t>Zuwendungsgebers</w:t>
      </w:r>
      <w:r>
        <w:t xml:space="preserve"> zur </w:t>
      </w:r>
      <w:r w:rsidR="008D28B6">
        <w:t>Umsetzung von Projekten</w:t>
      </w:r>
      <w:r w:rsidR="00047018">
        <w:t xml:space="preserve">, an deren </w:t>
      </w:r>
      <w:r w:rsidR="008D28B6">
        <w:t xml:space="preserve">Ergebnissen </w:t>
      </w:r>
      <w:r w:rsidR="00047018">
        <w:t>de</w:t>
      </w:r>
      <w:r w:rsidR="00EA7567">
        <w:t>r</w:t>
      </w:r>
      <w:r w:rsidR="00047018">
        <w:t xml:space="preserve"> Zuwendungsgeber ein erhebliches Interesse ha</w:t>
      </w:r>
      <w:r w:rsidR="00EA7567">
        <w:t>t</w:t>
      </w:r>
      <w:r>
        <w:t>. Die Zuwendungen können auch in Form von zweckgebundenen Zuschüssen, zweckgebundenen Darlehen oder</w:t>
      </w:r>
      <w:r w:rsidRPr="00CC7DF0">
        <w:t xml:space="preserve"> </w:t>
      </w:r>
      <w:r>
        <w:t xml:space="preserve">Zuweisungen erbracht werden. In Zuwendungsbescheiden werden die Zweckbindung der Zuwendung, beabsichtigte Ergebnisse im Rahmen der Projektförderung und die rechtlichen Grundlagen der Zuwendung genannt. </w:t>
      </w:r>
      <w:r w:rsidR="008D28B6">
        <w:t>In der Projektförderung dürfen die Beschäftigten de</w:t>
      </w:r>
      <w:r w:rsidR="00EA7567">
        <w:t>s</w:t>
      </w:r>
      <w:r w:rsidR="008D28B6">
        <w:t xml:space="preserve"> </w:t>
      </w:r>
      <w:r w:rsidR="00EA7567">
        <w:t>Zuwendungsempfängers i</w:t>
      </w:r>
      <w:r w:rsidR="008D28B6">
        <w:t xml:space="preserve">.d.R. nicht </w:t>
      </w:r>
      <w:proofErr w:type="gramStart"/>
      <w:r w:rsidR="008D28B6">
        <w:t>besser gestellt</w:t>
      </w:r>
      <w:proofErr w:type="gramEnd"/>
      <w:r w:rsidR="008D28B6">
        <w:t xml:space="preserve"> werden als vergleichbare Beschäftigte des öffentlichen Dienstes. Dies gilt aber nur, wenn die Einnahmen de</w:t>
      </w:r>
      <w:r w:rsidR="00EA7567">
        <w:t>s</w:t>
      </w:r>
      <w:r w:rsidR="008D28B6">
        <w:t xml:space="preserve"> </w:t>
      </w:r>
      <w:r w:rsidR="00EA7567">
        <w:t>Zuwendungsempfängers</w:t>
      </w:r>
      <w:r w:rsidR="008D28B6">
        <w:t xml:space="preserve"> überwiegend aus Zuwendungen der öffentlichen Hand bestritten werden.</w:t>
      </w:r>
    </w:p>
    <w:p w:rsidR="003E4380" w:rsidRDefault="003E4380" w:rsidP="00652A62"/>
    <w:p w:rsidR="00D10685" w:rsidRDefault="00D10685" w:rsidP="00652A62"/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6589"/>
      </w:tblGrid>
      <w:tr w:rsidR="003E4380" w:rsidTr="003B07F6">
        <w:tc>
          <w:tcPr>
            <w:tcW w:w="2528" w:type="dxa"/>
            <w:shd w:val="clear" w:color="auto" w:fill="auto"/>
          </w:tcPr>
          <w:p w:rsidR="003E4380" w:rsidRDefault="0010173B" w:rsidP="00652A62">
            <w:r>
              <w:t>Zuwendungsempfänger</w:t>
            </w:r>
          </w:p>
        </w:tc>
        <w:tc>
          <w:tcPr>
            <w:tcW w:w="6758" w:type="dxa"/>
            <w:shd w:val="clear" w:color="auto" w:fill="auto"/>
          </w:tcPr>
          <w:p w:rsidR="003E4380" w:rsidRDefault="003E4380" w:rsidP="00652A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3E4380" w:rsidTr="003B07F6">
        <w:tc>
          <w:tcPr>
            <w:tcW w:w="2528" w:type="dxa"/>
            <w:shd w:val="clear" w:color="auto" w:fill="auto"/>
          </w:tcPr>
          <w:p w:rsidR="003E4380" w:rsidRDefault="003E4380" w:rsidP="00652A62">
            <w:r>
              <w:t>Anschrift</w:t>
            </w:r>
          </w:p>
        </w:tc>
        <w:tc>
          <w:tcPr>
            <w:tcW w:w="6758" w:type="dxa"/>
            <w:shd w:val="clear" w:color="auto" w:fill="auto"/>
          </w:tcPr>
          <w:p w:rsidR="003E4380" w:rsidRDefault="003E4380" w:rsidP="00652A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B269E" w:rsidRDefault="006B269E" w:rsidP="00652A62"/>
    <w:p w:rsidR="00980D67" w:rsidRDefault="00680044" w:rsidP="00652A62">
      <w:r>
        <w:t xml:space="preserve">Hiermit </w:t>
      </w:r>
      <w:r w:rsidR="00980D67">
        <w:t xml:space="preserve">wird </w:t>
      </w:r>
      <w:r w:rsidR="00EC1719">
        <w:t>bestätig</w:t>
      </w:r>
      <w:r w:rsidR="00980D67">
        <w:t>t,</w:t>
      </w:r>
      <w:r>
        <w:t xml:space="preserve"> </w:t>
      </w:r>
      <w:r w:rsidR="009E3EB9">
        <w:t xml:space="preserve">dass im abgelaufenen Kalenderjahr </w:t>
      </w:r>
      <w:r w:rsidR="001A138F" w:rsidRPr="00693D51">
        <w:fldChar w:fldCharType="begin">
          <w:ffData>
            <w:name w:val="Text166"/>
            <w:enabled/>
            <w:calcOnExit w:val="0"/>
            <w:textInput/>
          </w:ffData>
        </w:fldChar>
      </w:r>
      <w:r w:rsidR="001A138F" w:rsidRPr="00693D51">
        <w:instrText xml:space="preserve"> FORMTEXT </w:instrText>
      </w:r>
      <w:r w:rsidR="001A138F" w:rsidRPr="00693D51">
        <w:fldChar w:fldCharType="separate"/>
      </w:r>
      <w:r w:rsidR="001A138F" w:rsidRPr="00693D51">
        <w:rPr>
          <w:noProof/>
        </w:rPr>
        <w:t> </w:t>
      </w:r>
      <w:r w:rsidR="001A138F" w:rsidRPr="00693D51">
        <w:rPr>
          <w:noProof/>
        </w:rPr>
        <w:t> </w:t>
      </w:r>
      <w:r w:rsidR="001A138F" w:rsidRPr="00693D51">
        <w:rPr>
          <w:noProof/>
        </w:rPr>
        <w:t> </w:t>
      </w:r>
      <w:r w:rsidR="001A138F" w:rsidRPr="00693D51">
        <w:rPr>
          <w:noProof/>
        </w:rPr>
        <w:t> </w:t>
      </w:r>
      <w:r w:rsidR="001A138F" w:rsidRPr="00693D51">
        <w:rPr>
          <w:noProof/>
        </w:rPr>
        <w:t> </w:t>
      </w:r>
      <w:r w:rsidR="001A138F" w:rsidRPr="00693D51">
        <w:fldChar w:fldCharType="end"/>
      </w:r>
      <w:r w:rsidR="009E3EB9">
        <w:t xml:space="preserve"> der Anteil der öffentlichen </w:t>
      </w:r>
      <w:r w:rsidR="007A5E51">
        <w:t>Zuwendungen</w:t>
      </w:r>
      <w:r w:rsidR="009E3EB9">
        <w:t xml:space="preserve"> an unseren Gesamtausgaben </w:t>
      </w:r>
    </w:p>
    <w:p w:rsidR="004F1F0F" w:rsidRDefault="00980D67" w:rsidP="00980D67">
      <w:pPr>
        <w:ind w:left="705" w:hanging="705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48670A">
        <w:fldChar w:fldCharType="separate"/>
      </w:r>
      <w:r>
        <w:fldChar w:fldCharType="end"/>
      </w:r>
      <w:bookmarkEnd w:id="2"/>
      <w:r>
        <w:tab/>
      </w:r>
      <w:r w:rsidR="009E3EB9">
        <w:t>mindestens 50 % beträgt.</w:t>
      </w:r>
      <w:r w:rsidR="004F1F0F">
        <w:t xml:space="preserve"> Der Anteil der öffentlichen Zuwendungen ergibt sich aus:</w:t>
      </w:r>
    </w:p>
    <w:p w:rsidR="004F1F0F" w:rsidRPr="00693D51" w:rsidRDefault="004F1F0F" w:rsidP="004F1F0F">
      <w:pPr>
        <w:ind w:left="705"/>
      </w:pPr>
      <w:r w:rsidRPr="00693D51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Pr="00693D51">
        <w:instrText xml:space="preserve"> FORMCHECKBOX </w:instrText>
      </w:r>
      <w:r w:rsidR="0048670A">
        <w:fldChar w:fldCharType="separate"/>
      </w:r>
      <w:r w:rsidRPr="00693D51">
        <w:fldChar w:fldCharType="end"/>
      </w:r>
      <w:bookmarkEnd w:id="3"/>
      <w:r w:rsidRPr="00693D51">
        <w:tab/>
        <w:t>ESF</w:t>
      </w:r>
      <w:r w:rsidR="00486B6A" w:rsidRPr="00693D51">
        <w:t>-</w:t>
      </w:r>
      <w:r w:rsidR="00EA7567">
        <w:t>Mitteln des</w:t>
      </w:r>
      <w:r w:rsidR="00E30A51" w:rsidRPr="00693D51">
        <w:t xml:space="preserve"> </w:t>
      </w:r>
      <w:r w:rsidRPr="00693D51">
        <w:t>Landes</w:t>
      </w:r>
    </w:p>
    <w:p w:rsidR="004F1F0F" w:rsidRPr="00693D51" w:rsidRDefault="004F1F0F" w:rsidP="004F1F0F">
      <w:pPr>
        <w:ind w:left="705"/>
      </w:pPr>
      <w:r w:rsidRPr="00693D51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693D51">
        <w:instrText xml:space="preserve"> FORMCHECKBOX </w:instrText>
      </w:r>
      <w:r w:rsidR="0048670A">
        <w:fldChar w:fldCharType="separate"/>
      </w:r>
      <w:r w:rsidRPr="00693D51">
        <w:fldChar w:fldCharType="end"/>
      </w:r>
      <w:bookmarkEnd w:id="4"/>
      <w:r w:rsidRPr="00693D51">
        <w:tab/>
        <w:t>EFRE</w:t>
      </w:r>
      <w:r w:rsidR="00486B6A" w:rsidRPr="00693D51">
        <w:t>-</w:t>
      </w:r>
      <w:r w:rsidR="00EA7567">
        <w:t>Mitteln des Landes</w:t>
      </w:r>
    </w:p>
    <w:p w:rsidR="004F1F0F" w:rsidRPr="00693D51" w:rsidRDefault="004F1F0F" w:rsidP="004F1F0F">
      <w:pPr>
        <w:ind w:left="705"/>
      </w:pPr>
      <w:r w:rsidRPr="00693D51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693D51">
        <w:instrText xml:space="preserve"> FORMCHECKBOX </w:instrText>
      </w:r>
      <w:r w:rsidR="0048670A">
        <w:fldChar w:fldCharType="separate"/>
      </w:r>
      <w:r w:rsidRPr="00693D51">
        <w:fldChar w:fldCharType="end"/>
      </w:r>
      <w:bookmarkEnd w:id="5"/>
      <w:r w:rsidR="00EA7567">
        <w:tab/>
        <w:t>weitere Landesmittel</w:t>
      </w:r>
    </w:p>
    <w:p w:rsidR="00680044" w:rsidRDefault="004F1F0F" w:rsidP="004F1F0F">
      <w:pPr>
        <w:ind w:left="705"/>
      </w:pPr>
      <w:r w:rsidRPr="00693D51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Pr="00693D51">
        <w:instrText xml:space="preserve"> FORMCHECKBOX </w:instrText>
      </w:r>
      <w:r w:rsidR="0048670A">
        <w:fldChar w:fldCharType="separate"/>
      </w:r>
      <w:r w:rsidRPr="00693D51">
        <w:fldChar w:fldCharType="end"/>
      </w:r>
      <w:bookmarkEnd w:id="6"/>
      <w:r w:rsidRPr="00693D51">
        <w:tab/>
        <w:t xml:space="preserve">andere öffentliche Mittel, nämlich </w:t>
      </w:r>
      <w:r w:rsidRPr="00693D51">
        <w:fldChar w:fldCharType="begin">
          <w:ffData>
            <w:name w:val="Text166"/>
            <w:enabled/>
            <w:calcOnExit w:val="0"/>
            <w:textInput/>
          </w:ffData>
        </w:fldChar>
      </w:r>
      <w:bookmarkStart w:id="7" w:name="Text166"/>
      <w:r w:rsidRPr="00693D51">
        <w:instrText xml:space="preserve"> FORMTEXT </w:instrText>
      </w:r>
      <w:r w:rsidRPr="00693D51">
        <w:fldChar w:fldCharType="separate"/>
      </w:r>
      <w:r w:rsidRPr="00693D51">
        <w:rPr>
          <w:noProof/>
        </w:rPr>
        <w:t> </w:t>
      </w:r>
      <w:r w:rsidRPr="00693D51">
        <w:rPr>
          <w:noProof/>
        </w:rPr>
        <w:t> </w:t>
      </w:r>
      <w:r w:rsidRPr="00693D51">
        <w:rPr>
          <w:noProof/>
        </w:rPr>
        <w:t> </w:t>
      </w:r>
      <w:r w:rsidRPr="00693D51">
        <w:rPr>
          <w:noProof/>
        </w:rPr>
        <w:t> </w:t>
      </w:r>
      <w:r w:rsidRPr="00693D51">
        <w:rPr>
          <w:noProof/>
        </w:rPr>
        <w:t> </w:t>
      </w:r>
      <w:r w:rsidRPr="00693D51">
        <w:fldChar w:fldCharType="end"/>
      </w:r>
      <w:bookmarkEnd w:id="7"/>
      <w:r w:rsidR="00EF50F6">
        <w:t xml:space="preserve"> </w:t>
      </w:r>
    </w:p>
    <w:p w:rsidR="009E3EB9" w:rsidRDefault="00980D67" w:rsidP="004F1F0F">
      <w:pPr>
        <w:ind w:left="709" w:hanging="709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instrText xml:space="preserve"> FORMCHECKBOX </w:instrText>
      </w:r>
      <w:r w:rsidR="0048670A">
        <w:fldChar w:fldCharType="separate"/>
      </w:r>
      <w:r>
        <w:fldChar w:fldCharType="end"/>
      </w:r>
      <w:bookmarkEnd w:id="8"/>
      <w:r>
        <w:tab/>
      </w:r>
      <w:r w:rsidR="009E3EB9">
        <w:t>weniger als 50%</w:t>
      </w:r>
      <w:r w:rsidR="00C02255">
        <w:t xml:space="preserve"> beträgt</w:t>
      </w:r>
      <w:r w:rsidR="009E3EB9">
        <w:t>.</w:t>
      </w:r>
    </w:p>
    <w:p w:rsidR="00C02255" w:rsidRDefault="00C02255" w:rsidP="00652A62"/>
    <w:p w:rsidR="00680044" w:rsidRDefault="009922EC" w:rsidP="00652A62">
      <w:r>
        <w:t>Uns ist bekannt, dass die vorstehenden Angaben subventionserhe</w:t>
      </w:r>
      <w:r w:rsidR="000E57F0">
        <w:t>b</w:t>
      </w:r>
      <w:r w:rsidR="00CB4EA5">
        <w:t>lich i.S.v</w:t>
      </w:r>
      <w:r>
        <w:t>. § 264 StGB i</w:t>
      </w:r>
      <w:r w:rsidR="00CB4EA5">
        <w:t>.</w:t>
      </w:r>
      <w:r>
        <w:t>V</w:t>
      </w:r>
      <w:r w:rsidR="00CB4EA5">
        <w:t>.</w:t>
      </w:r>
      <w:r>
        <w:t>m</w:t>
      </w:r>
      <w:r w:rsidR="00CB4EA5">
        <w:t>.</w:t>
      </w:r>
      <w:r>
        <w:t xml:space="preserve"> § 3 Subventionsgesetz sind.</w:t>
      </w:r>
    </w:p>
    <w:p w:rsidR="00680044" w:rsidRDefault="00680044" w:rsidP="00652A62"/>
    <w:p w:rsidR="00A70249" w:rsidRDefault="00A70249" w:rsidP="00A70249">
      <w:pPr>
        <w:tabs>
          <w:tab w:val="left" w:pos="4500"/>
        </w:tabs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52"/>
        <w:gridCol w:w="1134"/>
        <w:gridCol w:w="4253"/>
      </w:tblGrid>
      <w:tr w:rsidR="00A70249" w:rsidRPr="000C7CD9" w:rsidTr="002F4FA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</w:tr>
      <w:tr w:rsidR="00A70249" w:rsidRPr="000C7CD9" w:rsidTr="002F4FA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rechtsverbindliche Unterschrift, Stempel</w:t>
            </w:r>
          </w:p>
        </w:tc>
      </w:tr>
    </w:tbl>
    <w:p w:rsidR="00A70249" w:rsidRPr="00111CA5" w:rsidRDefault="00A70249" w:rsidP="00EA7567">
      <w:pPr>
        <w:pStyle w:val="Kopfzeile"/>
        <w:tabs>
          <w:tab w:val="clear" w:pos="4536"/>
          <w:tab w:val="clear" w:pos="9072"/>
          <w:tab w:val="left" w:pos="4500"/>
        </w:tabs>
        <w:rPr>
          <w:rFonts w:cs="Arial"/>
        </w:rPr>
      </w:pPr>
    </w:p>
    <w:sectPr w:rsidR="00A70249" w:rsidRPr="00111CA5" w:rsidSect="00214257">
      <w:headerReference w:type="default" r:id="rId8"/>
      <w:footerReference w:type="default" r:id="rId9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AA" w:rsidRDefault="002B69AA" w:rsidP="00A559DC">
      <w:pPr>
        <w:spacing w:after="0"/>
      </w:pPr>
      <w:r>
        <w:separator/>
      </w:r>
    </w:p>
  </w:endnote>
  <w:endnote w:type="continuationSeparator" w:id="0">
    <w:p w:rsidR="002B69AA" w:rsidRDefault="002B69AA" w:rsidP="00A55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1D" w:rsidRDefault="00C9561D">
    <w:pPr>
      <w:pStyle w:val="Fuzeile"/>
      <w:rPr>
        <w:color w:val="808080" w:themeColor="background1" w:themeShade="80"/>
        <w:sz w:val="18"/>
        <w:szCs w:val="18"/>
      </w:rPr>
    </w:pPr>
    <w:r>
      <w:rPr>
        <w:noProof/>
        <w:color w:val="FFFFFF" w:themeColor="background1"/>
        <w:sz w:val="18"/>
        <w:szCs w:val="18"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4300220</wp:posOffset>
          </wp:positionH>
          <wp:positionV relativeFrom="page">
            <wp:posOffset>10087610</wp:posOffset>
          </wp:positionV>
          <wp:extent cx="514438" cy="18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-nc-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38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561D" w:rsidRDefault="00C9561D" w:rsidP="00C9561D">
    <w:pPr>
      <w:pStyle w:val="Fuzeile"/>
    </w:pPr>
    <w:r w:rsidRPr="00C9561D">
      <w:rPr>
        <w:color w:val="808080" w:themeColor="background1" w:themeShade="80"/>
        <w:sz w:val="18"/>
        <w:szCs w:val="18"/>
      </w:rPr>
      <w:fldChar w:fldCharType="begin"/>
    </w:r>
    <w:r w:rsidRPr="00C9561D">
      <w:rPr>
        <w:color w:val="808080" w:themeColor="background1" w:themeShade="80"/>
        <w:sz w:val="18"/>
        <w:szCs w:val="18"/>
      </w:rPr>
      <w:instrText xml:space="preserve"> KEYWORDS   \* MERGEFORMAT </w:instrText>
    </w:r>
    <w:r w:rsidRPr="00C9561D">
      <w:rPr>
        <w:color w:val="808080" w:themeColor="background1" w:themeShade="80"/>
        <w:sz w:val="18"/>
        <w:szCs w:val="18"/>
      </w:rPr>
      <w:fldChar w:fldCharType="separate"/>
    </w:r>
    <w:r w:rsidRPr="00C9561D">
      <w:rPr>
        <w:color w:val="808080" w:themeColor="background1" w:themeShade="80"/>
        <w:sz w:val="18"/>
        <w:szCs w:val="18"/>
      </w:rPr>
      <w:t>ESF_Besserstellungsverbot_Erklaerung_V2_4_190815</w:t>
    </w:r>
    <w:r w:rsidRPr="00C9561D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AA" w:rsidRDefault="002B69AA" w:rsidP="00A559DC">
      <w:pPr>
        <w:spacing w:after="0"/>
      </w:pPr>
      <w:r>
        <w:separator/>
      </w:r>
    </w:p>
  </w:footnote>
  <w:footnote w:type="continuationSeparator" w:id="0">
    <w:p w:rsidR="002B69AA" w:rsidRDefault="002B69AA" w:rsidP="00A559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B9" w:rsidRPr="00C9561D" w:rsidRDefault="00C9561D" w:rsidP="000B45A3">
    <w:pPr>
      <w:pStyle w:val="Kopfzeile"/>
      <w:rPr>
        <w:color w:val="808080" w:themeColor="background1" w:themeShade="80"/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4A3CBF6" wp14:editId="1AD44428">
          <wp:simplePos x="0" y="0"/>
          <wp:positionH relativeFrom="column">
            <wp:posOffset>2733675</wp:posOffset>
          </wp:positionH>
          <wp:positionV relativeFrom="page">
            <wp:posOffset>469265</wp:posOffset>
          </wp:positionV>
          <wp:extent cx="2983230" cy="467995"/>
          <wp:effectExtent l="0" t="0" r="7620" b="8255"/>
          <wp:wrapNone/>
          <wp:docPr id="2" name="Grafik 2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B_Senatorin_für Wirtsch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70A" w:rsidRPr="00C9561D">
      <w:rPr>
        <w:noProof/>
        <w:color w:val="808080" w:themeColor="background1" w:themeShade="80"/>
        <w:sz w:val="18"/>
        <w:szCs w:val="18"/>
        <w:lang w:eastAsia="de-DE"/>
      </w:rPr>
      <w:drawing>
        <wp:inline distT="0" distB="0" distL="0" distR="0" wp14:anchorId="72B6F6A9" wp14:editId="7021A5C1">
          <wp:extent cx="2152650" cy="488278"/>
          <wp:effectExtent l="0" t="0" r="0" b="7620"/>
          <wp:docPr id="1" name="Grafik 1" descr="Logo des Europäischen Sozialfonds (ESF) in der Freien Hansestadt Bremen" title="Logo ESF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h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83" cy="48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07D"/>
    <w:multiLevelType w:val="hybridMultilevel"/>
    <w:tmpl w:val="4392C0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6469E"/>
    <w:multiLevelType w:val="hybridMultilevel"/>
    <w:tmpl w:val="B6A201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A37A7B"/>
    <w:multiLevelType w:val="hybridMultilevel"/>
    <w:tmpl w:val="2132D7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CA5661"/>
    <w:multiLevelType w:val="hybridMultilevel"/>
    <w:tmpl w:val="358E0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k1NZ9yukxc+jbZ2AGd5OGxeyZ/irYunQd983baYPIrnYiobzJFjXAlk4KiRP0FoRbK/CFr+WcOpeMnlIzhXA==" w:salt="WhQGXSrO7veczvIw8o/o4A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14"/>
    <w:rsid w:val="0000019A"/>
    <w:rsid w:val="00007B62"/>
    <w:rsid w:val="00010EDA"/>
    <w:rsid w:val="00041509"/>
    <w:rsid w:val="00047018"/>
    <w:rsid w:val="00061064"/>
    <w:rsid w:val="000A066C"/>
    <w:rsid w:val="000A6D33"/>
    <w:rsid w:val="000A7588"/>
    <w:rsid w:val="000B45A3"/>
    <w:rsid w:val="000E57F0"/>
    <w:rsid w:val="000F197E"/>
    <w:rsid w:val="000F7552"/>
    <w:rsid w:val="0010173B"/>
    <w:rsid w:val="0012036E"/>
    <w:rsid w:val="001453BA"/>
    <w:rsid w:val="0016679C"/>
    <w:rsid w:val="001877A4"/>
    <w:rsid w:val="001A138F"/>
    <w:rsid w:val="001D2A5C"/>
    <w:rsid w:val="001D7629"/>
    <w:rsid w:val="001E1A9B"/>
    <w:rsid w:val="0020014D"/>
    <w:rsid w:val="00212114"/>
    <w:rsid w:val="00212BE7"/>
    <w:rsid w:val="00214257"/>
    <w:rsid w:val="00255AE8"/>
    <w:rsid w:val="00261A7B"/>
    <w:rsid w:val="002B69AA"/>
    <w:rsid w:val="002F4FAE"/>
    <w:rsid w:val="003045AF"/>
    <w:rsid w:val="0031444E"/>
    <w:rsid w:val="00322BA3"/>
    <w:rsid w:val="00353B0C"/>
    <w:rsid w:val="003B07F6"/>
    <w:rsid w:val="003E06FD"/>
    <w:rsid w:val="003E4380"/>
    <w:rsid w:val="003F6A0A"/>
    <w:rsid w:val="0040330A"/>
    <w:rsid w:val="00416EB7"/>
    <w:rsid w:val="00483A80"/>
    <w:rsid w:val="0048670A"/>
    <w:rsid w:val="00486B6A"/>
    <w:rsid w:val="004A5304"/>
    <w:rsid w:val="004C0A65"/>
    <w:rsid w:val="004F1F0F"/>
    <w:rsid w:val="00511B5D"/>
    <w:rsid w:val="00526E82"/>
    <w:rsid w:val="00540A30"/>
    <w:rsid w:val="00560E1F"/>
    <w:rsid w:val="00570FC1"/>
    <w:rsid w:val="0058641C"/>
    <w:rsid w:val="00596C17"/>
    <w:rsid w:val="005A42E7"/>
    <w:rsid w:val="005B1A91"/>
    <w:rsid w:val="005D006B"/>
    <w:rsid w:val="005D404F"/>
    <w:rsid w:val="005F70DF"/>
    <w:rsid w:val="00626EA5"/>
    <w:rsid w:val="006371A9"/>
    <w:rsid w:val="00651234"/>
    <w:rsid w:val="00652A62"/>
    <w:rsid w:val="00672F37"/>
    <w:rsid w:val="00680044"/>
    <w:rsid w:val="00681DC7"/>
    <w:rsid w:val="00693D51"/>
    <w:rsid w:val="006B269E"/>
    <w:rsid w:val="006D2ED6"/>
    <w:rsid w:val="006E1555"/>
    <w:rsid w:val="006E73DE"/>
    <w:rsid w:val="007063FC"/>
    <w:rsid w:val="00766BD6"/>
    <w:rsid w:val="007A5E51"/>
    <w:rsid w:val="007B5566"/>
    <w:rsid w:val="007F0EC5"/>
    <w:rsid w:val="0081694D"/>
    <w:rsid w:val="00845B94"/>
    <w:rsid w:val="00853735"/>
    <w:rsid w:val="00860A9C"/>
    <w:rsid w:val="008619DE"/>
    <w:rsid w:val="008A5EE6"/>
    <w:rsid w:val="008B2A8C"/>
    <w:rsid w:val="008D28B6"/>
    <w:rsid w:val="008F2843"/>
    <w:rsid w:val="00906098"/>
    <w:rsid w:val="00906CEE"/>
    <w:rsid w:val="009165FD"/>
    <w:rsid w:val="00980D67"/>
    <w:rsid w:val="00983BFD"/>
    <w:rsid w:val="009922EC"/>
    <w:rsid w:val="009C74D6"/>
    <w:rsid w:val="009E3EB9"/>
    <w:rsid w:val="009F7E55"/>
    <w:rsid w:val="00A1757A"/>
    <w:rsid w:val="00A17E9F"/>
    <w:rsid w:val="00A559DC"/>
    <w:rsid w:val="00A70249"/>
    <w:rsid w:val="00AA6CF2"/>
    <w:rsid w:val="00AD7276"/>
    <w:rsid w:val="00AF5249"/>
    <w:rsid w:val="00B03A11"/>
    <w:rsid w:val="00B10EB2"/>
    <w:rsid w:val="00B312DF"/>
    <w:rsid w:val="00BE3A7F"/>
    <w:rsid w:val="00C02255"/>
    <w:rsid w:val="00C333E4"/>
    <w:rsid w:val="00C56646"/>
    <w:rsid w:val="00C773EC"/>
    <w:rsid w:val="00C9561D"/>
    <w:rsid w:val="00CA2F0B"/>
    <w:rsid w:val="00CB2047"/>
    <w:rsid w:val="00CB4EA5"/>
    <w:rsid w:val="00CC4E5A"/>
    <w:rsid w:val="00CC70FE"/>
    <w:rsid w:val="00CC7DF0"/>
    <w:rsid w:val="00CE0F05"/>
    <w:rsid w:val="00D00853"/>
    <w:rsid w:val="00D10685"/>
    <w:rsid w:val="00D95F3C"/>
    <w:rsid w:val="00DB5ED6"/>
    <w:rsid w:val="00DC0CAC"/>
    <w:rsid w:val="00E30A51"/>
    <w:rsid w:val="00E41F6F"/>
    <w:rsid w:val="00E7428C"/>
    <w:rsid w:val="00EA7567"/>
    <w:rsid w:val="00EA7CF7"/>
    <w:rsid w:val="00EC1719"/>
    <w:rsid w:val="00ED3BBF"/>
    <w:rsid w:val="00EF50F6"/>
    <w:rsid w:val="00F14DE2"/>
    <w:rsid w:val="00F70FA1"/>
    <w:rsid w:val="00F8146F"/>
    <w:rsid w:val="00FB36F4"/>
    <w:rsid w:val="00FC1944"/>
    <w:rsid w:val="00FD3BC4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0D86F24-9044-435C-A821-2715ECE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9D3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6EA5"/>
    <w:pPr>
      <w:spacing w:before="36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59D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59D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38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4380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6EA5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D9EA5C7-E21F-49F6-B4C9-65619A1B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Zuwendungsempfängers zum Besserstellungsverbot</vt:lpstr>
    </vt:vector>
  </TitlesOfParts>
  <Company>Die Senatorin für Wirtschaft, Arbeit und Europa, Abteilung 2 Arbeit, ESF-zwischengeschaltete Stelle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 Zuwendungsempfängers zum Besserstellungsverbot</dc:title>
  <dc:creator>Sabine Lührs</dc:creator>
  <cp:keywords>ET_Erklaerung_Besserstellungsverbot_V2_4_190815</cp:keywords>
  <cp:lastModifiedBy>Andre, Thorsten (Wirtschaft, Arbeit und Haefen)</cp:lastModifiedBy>
  <cp:revision>5</cp:revision>
  <cp:lastPrinted>2011-12-29T09:14:00Z</cp:lastPrinted>
  <dcterms:created xsi:type="dcterms:W3CDTF">2019-08-12T14:03:00Z</dcterms:created>
  <dcterms:modified xsi:type="dcterms:W3CDTF">2019-08-12T15:03:00Z</dcterms:modified>
</cp:coreProperties>
</file>